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74BA0" w14:textId="55167747" w:rsidR="009F58D8" w:rsidRPr="009F58D8" w:rsidRDefault="009F58D8" w:rsidP="009F58D8">
      <w:pPr>
        <w:pStyle w:val="Textebrut"/>
        <w:rPr>
          <w:u w:val="single"/>
        </w:rPr>
      </w:pPr>
      <w:r w:rsidRPr="009F58D8">
        <w:rPr>
          <w:u w:val="single"/>
        </w:rPr>
        <w:t>Informations reçues de la commune d’</w:t>
      </w:r>
      <w:proofErr w:type="spellStart"/>
      <w:r w:rsidRPr="009F58D8">
        <w:rPr>
          <w:u w:val="single"/>
        </w:rPr>
        <w:t>Ohey</w:t>
      </w:r>
      <w:proofErr w:type="spellEnd"/>
    </w:p>
    <w:p w14:paraId="45A7BA9E" w14:textId="77777777" w:rsidR="009F58D8" w:rsidRDefault="009F58D8" w:rsidP="009F58D8">
      <w:pPr>
        <w:pStyle w:val="Textebrut"/>
      </w:pPr>
    </w:p>
    <w:p w14:paraId="289BE81C" w14:textId="2ABDD2A8" w:rsidR="009F58D8" w:rsidRDefault="009F58D8" w:rsidP="009F58D8">
      <w:pPr>
        <w:pStyle w:val="Textebrut"/>
      </w:pPr>
      <w:r>
        <w:t>Le terrain se localise en zone de quartier diffus dans notre Schéma de Développement Communal (SDC). Il est préconisé, dans cette zone, une densité théorique comprise entre 5 et 15 logements/hectare.</w:t>
      </w:r>
    </w:p>
    <w:p w14:paraId="00243897" w14:textId="77777777" w:rsidR="009F58D8" w:rsidRDefault="009F58D8" w:rsidP="009F58D8">
      <w:pPr>
        <w:pStyle w:val="Textebrut"/>
      </w:pPr>
      <w:r>
        <w:t>Sur cette parcelle de 2596m², nous pourrions donc accepter entre 1,2 et 3,9 logements.</w:t>
      </w:r>
    </w:p>
    <w:p w14:paraId="089BB819" w14:textId="77777777" w:rsidR="009F58D8" w:rsidRDefault="009F58D8" w:rsidP="009F58D8">
      <w:pPr>
        <w:pStyle w:val="Textebrut"/>
      </w:pPr>
    </w:p>
    <w:p w14:paraId="58F2563F" w14:textId="77777777" w:rsidR="009F58D8" w:rsidRDefault="009F58D8" w:rsidP="009F58D8">
      <w:pPr>
        <w:pStyle w:val="Textebrut"/>
      </w:pPr>
      <w:r>
        <w:t>Cette densité est théorique et est à envisager au regard d’autres prescriptions et contraintes techniques énoncées ci-après :</w:t>
      </w:r>
    </w:p>
    <w:p w14:paraId="63E39BD2" w14:textId="77777777" w:rsidR="009F58D8" w:rsidRDefault="009F58D8" w:rsidP="009F58D8">
      <w:pPr>
        <w:pStyle w:val="Textebrut"/>
        <w:numPr>
          <w:ilvl w:val="0"/>
          <w:numId w:val="1"/>
        </w:numPr>
        <w:rPr>
          <w:rFonts w:eastAsia="Times New Roman"/>
        </w:rPr>
      </w:pPr>
      <w:r>
        <w:rPr>
          <w:rFonts w:eastAsia="Times New Roman"/>
        </w:rPr>
        <w:t>L’existence d’une Ligne Haute-Tension passant au Sud de la parcelle. A cet effet, je vous invite à contacter le gestionnaire de réseau (AIEG) afin de connaitre ses éventuelles contraintes/recommandations quant à la distance à prévoir entre la construction et la ligne à haute-tension ;</w:t>
      </w:r>
    </w:p>
    <w:p w14:paraId="2DDDBC41" w14:textId="77777777" w:rsidR="009F58D8" w:rsidRDefault="009F58D8" w:rsidP="009F58D8">
      <w:pPr>
        <w:pStyle w:val="Textebrut"/>
        <w:numPr>
          <w:ilvl w:val="0"/>
          <w:numId w:val="1"/>
        </w:numPr>
        <w:rPr>
          <w:rFonts w:eastAsia="Times New Roman"/>
        </w:rPr>
      </w:pPr>
      <w:r>
        <w:rPr>
          <w:rFonts w:eastAsia="Times New Roman"/>
        </w:rPr>
        <w:t xml:space="preserve">Le terrain présente une forte pente. Néanmoins, nous insistons sur le fait de maintenir un recul de la façade avant du volume principale de la (ou des) habitation(s) entre 5m et 10m. Ce recul permet de stationner des véhicules en domaine privé, entre la voirie et la construction et de s’aligner sur le pignon de l’habitation au Nord (n°107). </w:t>
      </w:r>
    </w:p>
    <w:p w14:paraId="2E8BD1D8" w14:textId="77777777" w:rsidR="009F58D8" w:rsidRDefault="009F58D8" w:rsidP="009F58D8">
      <w:pPr>
        <w:pStyle w:val="Textebrut"/>
        <w:numPr>
          <w:ilvl w:val="0"/>
          <w:numId w:val="1"/>
        </w:numPr>
        <w:rPr>
          <w:rFonts w:eastAsia="Times New Roman"/>
        </w:rPr>
      </w:pPr>
      <w:r>
        <w:rPr>
          <w:rFonts w:eastAsia="Times New Roman"/>
        </w:rPr>
        <w:t>Chaque logement doit bénéficier de 2 places de stationnement en domaine privé (couvertes ou non). Notre SDC préconise un minimum de 1,2 places par logement mais, en raison de l’absence de possibilité de stationnement en domaine public, il est préférable d’en disposer de 2 par habitation ;</w:t>
      </w:r>
    </w:p>
    <w:p w14:paraId="44FE2934" w14:textId="77777777" w:rsidR="009F58D8" w:rsidRDefault="009F58D8" w:rsidP="009F58D8">
      <w:pPr>
        <w:pStyle w:val="Textebrut"/>
        <w:numPr>
          <w:ilvl w:val="0"/>
          <w:numId w:val="1"/>
        </w:numPr>
        <w:rPr>
          <w:rFonts w:eastAsia="Times New Roman"/>
        </w:rPr>
      </w:pPr>
      <w:r>
        <w:rPr>
          <w:rFonts w:eastAsia="Times New Roman"/>
        </w:rPr>
        <w:t>En cas de plusieurs logements, chaque logement devra disposer d’un local de rangement poubelles/vélo ;</w:t>
      </w:r>
    </w:p>
    <w:p w14:paraId="657F92A5" w14:textId="77777777" w:rsidR="009F58D8" w:rsidRDefault="009F58D8" w:rsidP="009F58D8">
      <w:pPr>
        <w:pStyle w:val="Textebrut"/>
        <w:numPr>
          <w:ilvl w:val="0"/>
          <w:numId w:val="2"/>
        </w:numPr>
        <w:rPr>
          <w:rFonts w:eastAsia="Times New Roman"/>
        </w:rPr>
      </w:pPr>
      <w:r>
        <w:rPr>
          <w:rFonts w:eastAsia="Times New Roman"/>
        </w:rPr>
        <w:t>Afin d’intégrer les constructions au cadre bâti existant, nous accepterons les toitures plates uniquement sur des volumes secondaires (annexes, carports, garage), la toiture du volume principal devant être à 2 versants. Les matériaux devront faire écho aux matériaux présents sur les bâtiments voisins, à savoir se rapprocher des tonalités (brune-jaune ocre-beige) avec un rappel de pierre en façade avant.</w:t>
      </w:r>
    </w:p>
    <w:p w14:paraId="6A29AD37" w14:textId="77777777" w:rsidR="009F58D8" w:rsidRDefault="009F58D8" w:rsidP="009F58D8">
      <w:pPr>
        <w:pStyle w:val="Textebrut"/>
        <w:numPr>
          <w:ilvl w:val="0"/>
          <w:numId w:val="2"/>
        </w:numPr>
        <w:rPr>
          <w:rFonts w:eastAsia="Times New Roman"/>
        </w:rPr>
      </w:pPr>
      <w:r>
        <w:rPr>
          <w:rFonts w:eastAsia="Times New Roman"/>
        </w:rPr>
        <w:t>La route d’</w:t>
      </w:r>
      <w:proofErr w:type="spellStart"/>
      <w:r>
        <w:rPr>
          <w:rFonts w:eastAsia="Times New Roman"/>
        </w:rPr>
        <w:t>Havelange</w:t>
      </w:r>
      <w:proofErr w:type="spellEnd"/>
      <w:r>
        <w:rPr>
          <w:rFonts w:eastAsia="Times New Roman"/>
        </w:rPr>
        <w:t xml:space="preserve"> est équipée d’un égout et ce dernier se rejette dans un cours d’eau. Chaque logement devra être équipé d’une fosse-septique by-passable avant le rejet des eaux usées à l’égout. </w:t>
      </w:r>
    </w:p>
    <w:p w14:paraId="5BE6F8B0" w14:textId="77777777" w:rsidR="009F58D8" w:rsidRDefault="009F58D8" w:rsidP="009F58D8">
      <w:pPr>
        <w:pStyle w:val="Textebrut"/>
        <w:ind w:left="720"/>
      </w:pPr>
      <w:r>
        <w:t>Concernant les eaux de pluie, le code de l’eau prévoit de les évacuer dans l’ordre suivant :</w:t>
      </w:r>
    </w:p>
    <w:p w14:paraId="46DF4C62" w14:textId="77777777" w:rsidR="009F58D8" w:rsidRDefault="009F58D8" w:rsidP="009F58D8">
      <w:pPr>
        <w:pStyle w:val="Textebrut"/>
        <w:ind w:left="720"/>
      </w:pPr>
      <w:r>
        <w:t>1. Par infiltration dans le sol moyennant la réalisation d’un test d’infiltration indiquant un sol suffisamment perméable ;</w:t>
      </w:r>
    </w:p>
    <w:p w14:paraId="7F821A46" w14:textId="77777777" w:rsidR="009F58D8" w:rsidRDefault="009F58D8" w:rsidP="009F58D8">
      <w:pPr>
        <w:pStyle w:val="Textebrut"/>
        <w:ind w:left="720"/>
      </w:pPr>
      <w:r>
        <w:t>2. En cas d’impossibilité technique d’infiltration (ce qui pourrait être le cas de ce terrain car il présente une pente d’environ 18% - il faut éviter que l’eau infiltrée dans la partie jardin ne s’écoule vers le bâtiment), dans une voie artificielle d’écoulement (fossé, cours d’eau, eau de surface) ;</w:t>
      </w:r>
    </w:p>
    <w:p w14:paraId="3D36E4FE" w14:textId="77777777" w:rsidR="009F58D8" w:rsidRDefault="009F58D8" w:rsidP="009F58D8">
      <w:pPr>
        <w:pStyle w:val="Textebrut"/>
        <w:ind w:left="720"/>
      </w:pPr>
      <w:r>
        <w:t>3. Dans les égouts. Dans ce cas, une citerne à eau de pluie avec vidange à débit régulé sera demandée (dans les autres cas, 1 et 2, elle est vivement conseillée).</w:t>
      </w:r>
    </w:p>
    <w:p w14:paraId="7DFBBDF6" w14:textId="77777777" w:rsidR="009F58D8" w:rsidRDefault="009F58D8" w:rsidP="009F58D8"/>
    <w:p w14:paraId="3DB37077" w14:textId="77777777" w:rsidR="009F58D8" w:rsidRDefault="009F58D8" w:rsidP="009F58D8">
      <w:r>
        <w:t>Pour conclure, à la lecture de ces éléments, il ne me semble pas déraisonnable d’envisager 2 logements sur la parcelle avec éventuellement un maximum de 3 logements mais l’intégration de ceux-ci et le respect des conditions ci-dessus feront l’objet d’une attention particulière.</w:t>
      </w:r>
    </w:p>
    <w:p w14:paraId="27EE66DD" w14:textId="77777777" w:rsidR="009F58D8" w:rsidRDefault="009F58D8" w:rsidP="009F58D8">
      <w:r>
        <w:t xml:space="preserve">Dans tous les cas, un avant-projet est le bienvenu afin de vérifier la faisabilité d’un projet. </w:t>
      </w:r>
    </w:p>
    <w:p w14:paraId="16CBB2CE" w14:textId="77777777" w:rsidR="00AC0269" w:rsidRDefault="00AC0269"/>
    <w:sectPr w:rsidR="00AC02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A457A"/>
    <w:multiLevelType w:val="hybridMultilevel"/>
    <w:tmpl w:val="531E2AA0"/>
    <w:lvl w:ilvl="0" w:tplc="AD4496B0">
      <w:start w:val="4"/>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 w15:restartNumberingAfterBreak="0">
    <w:nsid w:val="49057700"/>
    <w:multiLevelType w:val="hybridMultilevel"/>
    <w:tmpl w:val="4D1693D6"/>
    <w:lvl w:ilvl="0" w:tplc="C292F55C">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num w:numId="1" w16cid:durableId="230700136">
    <w:abstractNumId w:val="0"/>
    <w:lvlOverride w:ilvl="0"/>
    <w:lvlOverride w:ilvl="1"/>
    <w:lvlOverride w:ilvl="2"/>
    <w:lvlOverride w:ilvl="3"/>
    <w:lvlOverride w:ilvl="4"/>
    <w:lvlOverride w:ilvl="5"/>
    <w:lvlOverride w:ilvl="6"/>
    <w:lvlOverride w:ilvl="7"/>
    <w:lvlOverride w:ilvl="8"/>
  </w:num>
  <w:num w:numId="2" w16cid:durableId="7146472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8D8"/>
    <w:rsid w:val="006356F1"/>
    <w:rsid w:val="006B2499"/>
    <w:rsid w:val="00910D25"/>
    <w:rsid w:val="009F58D8"/>
    <w:rsid w:val="00AC0269"/>
    <w:rsid w:val="00B9333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96533"/>
  <w15:chartTrackingRefBased/>
  <w15:docId w15:val="{636E59AB-8D5B-4612-A1A1-26BCEE0DA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8D8"/>
    <w:pPr>
      <w:spacing w:after="0" w:line="240" w:lineRule="auto"/>
    </w:pPr>
    <w:rPr>
      <w:rFonts w:ascii="Calibri" w:hAnsi="Calibri" w:cs="Calibri"/>
      <w:kern w:val="0"/>
    </w:rPr>
  </w:style>
  <w:style w:type="paragraph" w:styleId="Titre1">
    <w:name w:val="heading 1"/>
    <w:basedOn w:val="Normal"/>
    <w:next w:val="Normal"/>
    <w:link w:val="Titre1Car"/>
    <w:uiPriority w:val="9"/>
    <w:qFormat/>
    <w:rsid w:val="009F58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F58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F58D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F58D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F58D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F58D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F58D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F58D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F58D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58D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F58D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F58D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F58D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F58D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F58D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F58D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F58D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F58D8"/>
    <w:rPr>
      <w:rFonts w:eastAsiaTheme="majorEastAsia" w:cstheme="majorBidi"/>
      <w:color w:val="272727" w:themeColor="text1" w:themeTint="D8"/>
    </w:rPr>
  </w:style>
  <w:style w:type="paragraph" w:styleId="Titre">
    <w:name w:val="Title"/>
    <w:basedOn w:val="Normal"/>
    <w:next w:val="Normal"/>
    <w:link w:val="TitreCar"/>
    <w:uiPriority w:val="10"/>
    <w:qFormat/>
    <w:rsid w:val="009F58D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F58D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F58D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F58D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F58D8"/>
    <w:pPr>
      <w:spacing w:before="160"/>
      <w:jc w:val="center"/>
    </w:pPr>
    <w:rPr>
      <w:i/>
      <w:iCs/>
      <w:color w:val="404040" w:themeColor="text1" w:themeTint="BF"/>
    </w:rPr>
  </w:style>
  <w:style w:type="character" w:customStyle="1" w:styleId="CitationCar">
    <w:name w:val="Citation Car"/>
    <w:basedOn w:val="Policepardfaut"/>
    <w:link w:val="Citation"/>
    <w:uiPriority w:val="29"/>
    <w:rsid w:val="009F58D8"/>
    <w:rPr>
      <w:i/>
      <w:iCs/>
      <w:color w:val="404040" w:themeColor="text1" w:themeTint="BF"/>
    </w:rPr>
  </w:style>
  <w:style w:type="paragraph" w:styleId="Paragraphedeliste">
    <w:name w:val="List Paragraph"/>
    <w:basedOn w:val="Normal"/>
    <w:uiPriority w:val="34"/>
    <w:qFormat/>
    <w:rsid w:val="009F58D8"/>
    <w:pPr>
      <w:ind w:left="720"/>
      <w:contextualSpacing/>
    </w:pPr>
  </w:style>
  <w:style w:type="character" w:styleId="Accentuationintense">
    <w:name w:val="Intense Emphasis"/>
    <w:basedOn w:val="Policepardfaut"/>
    <w:uiPriority w:val="21"/>
    <w:qFormat/>
    <w:rsid w:val="009F58D8"/>
    <w:rPr>
      <w:i/>
      <w:iCs/>
      <w:color w:val="0F4761" w:themeColor="accent1" w:themeShade="BF"/>
    </w:rPr>
  </w:style>
  <w:style w:type="paragraph" w:styleId="Citationintense">
    <w:name w:val="Intense Quote"/>
    <w:basedOn w:val="Normal"/>
    <w:next w:val="Normal"/>
    <w:link w:val="CitationintenseCar"/>
    <w:uiPriority w:val="30"/>
    <w:qFormat/>
    <w:rsid w:val="009F58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F58D8"/>
    <w:rPr>
      <w:i/>
      <w:iCs/>
      <w:color w:val="0F4761" w:themeColor="accent1" w:themeShade="BF"/>
    </w:rPr>
  </w:style>
  <w:style w:type="character" w:styleId="Rfrenceintense">
    <w:name w:val="Intense Reference"/>
    <w:basedOn w:val="Policepardfaut"/>
    <w:uiPriority w:val="32"/>
    <w:qFormat/>
    <w:rsid w:val="009F58D8"/>
    <w:rPr>
      <w:b/>
      <w:bCs/>
      <w:smallCaps/>
      <w:color w:val="0F4761" w:themeColor="accent1" w:themeShade="BF"/>
      <w:spacing w:val="5"/>
    </w:rPr>
  </w:style>
  <w:style w:type="paragraph" w:styleId="Textebrut">
    <w:name w:val="Plain Text"/>
    <w:basedOn w:val="Normal"/>
    <w:link w:val="TextebrutCar"/>
    <w:uiPriority w:val="99"/>
    <w:semiHidden/>
    <w:unhideWhenUsed/>
    <w:rsid w:val="009F58D8"/>
  </w:style>
  <w:style w:type="character" w:customStyle="1" w:styleId="TextebrutCar">
    <w:name w:val="Texte brut Car"/>
    <w:basedOn w:val="Policepardfaut"/>
    <w:link w:val="Textebrut"/>
    <w:uiPriority w:val="99"/>
    <w:semiHidden/>
    <w:rsid w:val="009F58D8"/>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DCE14C911C40459204B57E56034FA5" ma:contentTypeVersion="13" ma:contentTypeDescription="Crée un document." ma:contentTypeScope="" ma:versionID="2a1ddb9f535c4b4064cf58de797ba523">
  <xsd:schema xmlns:xsd="http://www.w3.org/2001/XMLSchema" xmlns:xs="http://www.w3.org/2001/XMLSchema" xmlns:p="http://schemas.microsoft.com/office/2006/metadata/properties" xmlns:ns2="7a19e97b-b952-464f-b251-7b0829c39508" xmlns:ns3="b2bb3a87-d54f-404c-886e-a89a6498d7af" targetNamespace="http://schemas.microsoft.com/office/2006/metadata/properties" ma:root="true" ma:fieldsID="c6dbd67a060ee02ac367ed4aaa9407b7" ns2:_="" ns3:_="">
    <xsd:import namespace="7a19e97b-b952-464f-b251-7b0829c39508"/>
    <xsd:import namespace="b2bb3a87-d54f-404c-886e-a89a6498d7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19e97b-b952-464f-b251-7b0829c39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d7468bf9-bfb9-414c-94ae-955a19ac49f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bb3a87-d54f-404c-886e-a89a6498d7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d0490b-c030-470c-8775-dfdf6ba5e4f4}" ma:internalName="TaxCatchAll" ma:showField="CatchAllData" ma:web="b2bb3a87-d54f-404c-886e-a89a6498d7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2bb3a87-d54f-404c-886e-a89a6498d7af" xsi:nil="true"/>
    <lcf76f155ced4ddcb4097134ff3c332f xmlns="7a19e97b-b952-464f-b251-7b0829c395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E5F5A8-7E3C-4D20-A62A-CB2691265CC5}"/>
</file>

<file path=customXml/itemProps2.xml><?xml version="1.0" encoding="utf-8"?>
<ds:datastoreItem xmlns:ds="http://schemas.openxmlformats.org/officeDocument/2006/customXml" ds:itemID="{8ABBB0DB-DE78-40D9-9139-50E9F7E94CFD}"/>
</file>

<file path=customXml/itemProps3.xml><?xml version="1.0" encoding="utf-8"?>
<ds:datastoreItem xmlns:ds="http://schemas.openxmlformats.org/officeDocument/2006/customXml" ds:itemID="{D6BE1A22-C2D0-427E-B8BD-5B3E52D0BA66}"/>
</file>

<file path=docProps/app.xml><?xml version="1.0" encoding="utf-8"?>
<Properties xmlns="http://schemas.openxmlformats.org/officeDocument/2006/extended-properties" xmlns:vt="http://schemas.openxmlformats.org/officeDocument/2006/docPropsVTypes">
  <Template>Normal</Template>
  <TotalTime>2</TotalTime>
  <Pages>1</Pages>
  <Words>484</Words>
  <Characters>2662</Characters>
  <Application>Microsoft Office Word</Application>
  <DocSecurity>0</DocSecurity>
  <Lines>22</Lines>
  <Paragraphs>6</Paragraphs>
  <ScaleCrop>false</ScaleCrop>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Simon</dc:creator>
  <cp:keywords/>
  <dc:description/>
  <cp:lastModifiedBy>Nicolas Simon</cp:lastModifiedBy>
  <cp:revision>1</cp:revision>
  <dcterms:created xsi:type="dcterms:W3CDTF">2025-12-05T13:30:00Z</dcterms:created>
  <dcterms:modified xsi:type="dcterms:W3CDTF">2025-12-05T13:32:00Z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0x01010044DCE14C911C40459204B57E56034FA5</vt:lpwstr>
  </property>
  <property fmtid="{D5CDD505-2E9C-101B-9397-08002B2CF9AE}" pid="4" name="docLang">
    <vt:lpwstr>fr</vt:lpwstr>
  </property>
  <property fmtid="{D5CDD505-2E9C-101B-9397-08002B2CF9AE}" pid="5" name="MediaServiceImageTags">
    <vt:lpwstr/>
  </property>
</Properties>
</file>