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30EA988B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 Marcinelle (Ch) (A2/c2) 44, 6000 Charleroi</w:t>
        <w:br w:type="textWrapping"/>
        <w:t>52011D0259/00T004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"https://eservices.minfin.fgov.be/ecad-web/?local=nl_BE&amp;capakey=52011D0259/00T004"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"https://eservices.minfin.fgov.be/ecad-web/?local=nl_BE&amp;capakey=52011D0259/00T004"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"https://eservices.minfin.fgov.be/ecad-web/?local=nl_BE&amp;capakey=52011D0259/00T004"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"https://eservices.minfin.fgov.be/ecad-web/?local=nl_BE&amp;capakey=52011D0259/00T004"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065" cy="34226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32175" cy="66040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6604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</w:r>
      <w:r>
        <w:drawing>
          <wp:inline xmlns:wp="http://schemas.openxmlformats.org/drawingml/2006/wordprocessingDrawing">
            <wp:extent cx="3085465" cy="85661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00-00-1379/001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20/12/2024 - bp5vd8zw21jj30od95dvsfa4qf6l4bt9gs5jrjaa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de Marcinelle (Ch) (A2/c2) 44, 6000 Charleroi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